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3" w:rsidRDefault="008418C0" w:rsidP="008418C0">
      <w:pPr>
        <w:ind w:leftChars="-472" w:left="-1" w:hangingChars="283" w:hanging="1132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>
            <wp:extent cx="3343275" cy="533400"/>
            <wp:effectExtent l="0" t="0" r="9525" b="0"/>
            <wp:docPr id="1" name="圖片 1" descr="大腳印房地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大腳印房地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0"/>
          <w:szCs w:val="40"/>
        </w:rPr>
        <w:t>房地網</w:t>
      </w:r>
      <w:r w:rsidRPr="0021263A">
        <w:rPr>
          <w:rFonts w:ascii="標楷體" w:eastAsia="標楷體" w:hAnsi="標楷體" w:hint="eastAsia"/>
          <w:sz w:val="40"/>
          <w:szCs w:val="40"/>
        </w:rPr>
        <w:t>建案</w:t>
      </w:r>
      <w:r>
        <w:rPr>
          <w:rFonts w:ascii="標楷體" w:eastAsia="標楷體" w:hAnsi="標楷體" w:hint="eastAsia"/>
          <w:sz w:val="40"/>
          <w:szCs w:val="40"/>
        </w:rPr>
        <w:t>基本資料</w:t>
      </w:r>
    </w:p>
    <w:p w:rsidR="008418C0" w:rsidRDefault="008418C0" w:rsidP="008418C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133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Chars="-472" w:left="-341" w:hangingChars="283" w:hanging="79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418C0">
        <w:rPr>
          <w:rFonts w:asciiTheme="minorEastAsia" w:eastAsiaTheme="minorEastAsia" w:hAnsiTheme="minorEastAsia" w:hint="eastAsia"/>
          <w:sz w:val="28"/>
          <w:szCs w:val="28"/>
        </w:rPr>
        <w:t xml:space="preserve">建案所在區域   </w:t>
      </w:r>
      <w:r w:rsidRPr="008418C0">
        <w:rPr>
          <w:rFonts w:asciiTheme="minorEastAsia" w:eastAsiaTheme="minorEastAsia" w:hAnsiTheme="minorEastAsia" w:hint="eastAsia"/>
          <w:sz w:val="28"/>
          <w:szCs w:val="28"/>
        </w:rPr>
        <w:tab/>
        <w:t xml:space="preserve">/縣    </w:t>
      </w:r>
      <w:r w:rsidRPr="008418C0">
        <w:rPr>
          <w:rFonts w:asciiTheme="minorEastAsia" w:eastAsiaTheme="minorEastAsia" w:hAnsiTheme="minorEastAsia" w:hint="eastAsia"/>
          <w:sz w:val="28"/>
          <w:szCs w:val="28"/>
        </w:rPr>
        <w:tab/>
        <w:t>/鎮/鄉/市</w:t>
      </w:r>
    </w:p>
    <w:p w:rsidR="00F52390" w:rsidRPr="00F52390" w:rsidRDefault="00EC06AF" w:rsidP="00EC06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133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Chars="-472" w:left="-453" w:hangingChars="283" w:hanging="680"/>
        <w:jc w:val="center"/>
        <w:rPr>
          <w:rFonts w:asciiTheme="minorEastAsia" w:eastAsiaTheme="minorEastAsia" w:hAnsiTheme="minorEastAsia"/>
          <w:b/>
          <w:color w:val="FF0000"/>
        </w:rPr>
      </w:pPr>
      <w:r w:rsidRPr="00EC06AF">
        <w:rPr>
          <w:rFonts w:asciiTheme="minorEastAsia" w:eastAsiaTheme="minorEastAsia" w:hAnsiTheme="minorEastAsia" w:hint="eastAsia"/>
          <w:b/>
          <w:color w:val="000000" w:themeColor="text1"/>
        </w:rPr>
        <w:t>專案人員：               連絡電話：</w:t>
      </w:r>
      <w:r>
        <w:rPr>
          <w:rFonts w:asciiTheme="minorEastAsia" w:eastAsiaTheme="minorEastAsia" w:hAnsiTheme="minorEastAsia" w:hint="eastAsia"/>
          <w:b/>
          <w:color w:val="FF0000"/>
        </w:rPr>
        <w:t xml:space="preserve">                                   </w:t>
      </w:r>
      <w:r w:rsidR="00F52390" w:rsidRPr="00F52390">
        <w:rPr>
          <w:rFonts w:asciiTheme="minorEastAsia" w:eastAsiaTheme="minorEastAsia" w:hAnsiTheme="minorEastAsia" w:hint="eastAsia"/>
          <w:b/>
          <w:color w:val="FF0000"/>
        </w:rPr>
        <w:t>*</w:t>
      </w:r>
      <w:r w:rsidR="00F52390">
        <w:rPr>
          <w:rFonts w:asciiTheme="minorEastAsia" w:eastAsiaTheme="minorEastAsia" w:hAnsiTheme="minorEastAsia" w:hint="eastAsia"/>
          <w:b/>
          <w:color w:val="FF0000"/>
        </w:rPr>
        <w:t>必填</w:t>
      </w:r>
    </w:p>
    <w:tbl>
      <w:tblPr>
        <w:tblStyle w:val="a3"/>
        <w:tblW w:w="10213" w:type="dxa"/>
        <w:tblInd w:w="-743" w:type="dxa"/>
        <w:tblLook w:val="04A0" w:firstRow="1" w:lastRow="0" w:firstColumn="1" w:lastColumn="0" w:noHBand="0" w:noVBand="1"/>
      </w:tblPr>
      <w:tblGrid>
        <w:gridCol w:w="1560"/>
        <w:gridCol w:w="1575"/>
        <w:gridCol w:w="126"/>
        <w:gridCol w:w="961"/>
        <w:gridCol w:w="598"/>
        <w:gridCol w:w="145"/>
        <w:gridCol w:w="1413"/>
        <w:gridCol w:w="72"/>
        <w:gridCol w:w="1638"/>
        <w:gridCol w:w="2125"/>
      </w:tblGrid>
      <w:tr w:rsidR="00EC06AF" w:rsidTr="00EC06AF">
        <w:tc>
          <w:tcPr>
            <w:tcW w:w="4965" w:type="dxa"/>
            <w:gridSpan w:val="6"/>
          </w:tcPr>
          <w:p w:rsidR="00EC06AF" w:rsidRPr="008418C0" w:rsidRDefault="00EC06AF">
            <w:pPr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/>
                <w:b/>
                <w:color w:val="FF0000"/>
                <w:sz w:val="27"/>
                <w:szCs w:val="27"/>
              </w:rPr>
              <w:t>*</w:t>
            </w:r>
            <w:r w:rsidRPr="008418C0">
              <w:rPr>
                <w:rFonts w:asciiTheme="minorEastAsia" w:eastAsiaTheme="minorEastAsia" w:hAnsiTheme="minorEastAsia"/>
                <w:sz w:val="27"/>
                <w:szCs w:val="27"/>
              </w:rPr>
              <w:t>建案標題(名稱)：</w:t>
            </w:r>
          </w:p>
        </w:tc>
        <w:tc>
          <w:tcPr>
            <w:tcW w:w="5248" w:type="dxa"/>
            <w:gridSpan w:val="4"/>
          </w:tcPr>
          <w:p w:rsidR="00EC06AF" w:rsidRPr="008418C0" w:rsidRDefault="00EC06AF" w:rsidP="00EC06AF">
            <w:pPr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sz w:val="27"/>
                <w:szCs w:val="27"/>
              </w:rPr>
              <w:t>接待中心電話：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>
            <w:pPr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/>
                <w:b/>
                <w:color w:val="FF0000"/>
                <w:sz w:val="27"/>
                <w:szCs w:val="27"/>
              </w:rPr>
              <w:t>*</w:t>
            </w:r>
            <w:r w:rsidR="00761BD3" w:rsidRPr="008418C0">
              <w:rPr>
                <w:rFonts w:asciiTheme="minorEastAsia" w:eastAsiaTheme="minorEastAsia" w:hAnsiTheme="minorEastAsia"/>
                <w:sz w:val="27"/>
                <w:szCs w:val="27"/>
              </w:rPr>
              <w:t>基地地址：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761BD3">
            <w:pPr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/>
                <w:sz w:val="27"/>
                <w:szCs w:val="27"/>
              </w:rPr>
              <w:t>路面：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4米以下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4~6米路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7~9米路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10~12米路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13~15米路 </w:t>
            </w:r>
          </w:p>
          <w:p w:rsidR="00761BD3" w:rsidRPr="008418C0" w:rsidRDefault="00761BD3">
            <w:pPr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16~20米路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20米以上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其他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>
            <w:pPr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/>
                <w:b/>
                <w:color w:val="FF0000"/>
                <w:sz w:val="27"/>
                <w:szCs w:val="27"/>
              </w:rPr>
              <w:t>*</w:t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銷售狀態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>：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銷售中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尚未開賣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已完销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/>
                <w:b/>
                <w:color w:val="FF0000"/>
                <w:sz w:val="27"/>
                <w:szCs w:val="27"/>
              </w:rPr>
              <w:t>*</w:t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建案狀態：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預售屋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新成屋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proofErr w:type="gramStart"/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預推案</w:t>
            </w:r>
            <w:proofErr w:type="gramEnd"/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/>
                <w:b/>
                <w:color w:val="FF0000"/>
                <w:sz w:val="27"/>
                <w:szCs w:val="27"/>
              </w:rPr>
              <w:t>*</w:t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房屋型態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>：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住宅大樓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電梯公寓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華廈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別墅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透天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商辦大樓 </w:t>
            </w:r>
            <w:r w:rsidR="00761BD3"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廠辦 </w:t>
            </w:r>
          </w:p>
          <w:p w:rsidR="00761BD3" w:rsidRPr="008418C0" w:rsidRDefault="00761BD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其他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761BD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建案格局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>：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房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二房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三房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四房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五房及以</w:t>
            </w: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上</w:t>
            </w:r>
            <w:proofErr w:type="gramEnd"/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透天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761BD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主要用途：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住家用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住商用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商業用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工商用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工業用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其他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761BD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生活機能：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近學校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近醫療機構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近傳統市場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近便利商店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近公園綠地</w:t>
            </w:r>
          </w:p>
          <w:p w:rsidR="00761BD3" w:rsidRPr="008418C0" w:rsidRDefault="00761BD3" w:rsidP="00761BD3">
            <w:pPr>
              <w:widowControl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近夜市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百貨公司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6775CE" w:rsidRPr="008418C0" w:rsidRDefault="00761BD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建案標籤：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近捷運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明星學區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重劃區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近公園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景觀宅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創意空間 </w:t>
            </w:r>
          </w:p>
          <w:p w:rsidR="00761BD3" w:rsidRPr="008418C0" w:rsidRDefault="006775CE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proofErr w:type="gramStart"/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制震宅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proofErr w:type="gramStart"/>
            <w:r w:rsidR="00761BD3"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低首付</w:t>
            </w:r>
            <w:proofErr w:type="gramEnd"/>
          </w:p>
        </w:tc>
      </w:tr>
      <w:tr w:rsidR="00761BD3" w:rsidTr="00C70BE1">
        <w:tc>
          <w:tcPr>
            <w:tcW w:w="10213" w:type="dxa"/>
            <w:gridSpan w:val="10"/>
          </w:tcPr>
          <w:p w:rsidR="006775CE" w:rsidRPr="008418C0" w:rsidRDefault="006775CE" w:rsidP="00F5239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公共設施：</w:t>
            </w:r>
            <w:r w:rsidR="00F5239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接待大廳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會議室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視聽室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游泳池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健身房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親子遊戲區 </w:t>
            </w:r>
          </w:p>
          <w:p w:rsidR="00761BD3" w:rsidRPr="008418C0" w:rsidRDefault="006775CE" w:rsidP="00F5239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兒童遊戲區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SPA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LOUNGE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KTV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瑜伽教室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廚藝教室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曬被區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信箱區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閱覽室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交誼廳 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空中花園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中庭花園 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sym w:font="Wingdings 2" w:char="F030"/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多功能桌遊室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 w:rsidP="006775CE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>上架天數：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  <w:t xml:space="preserve">60天 </w:t>
            </w:r>
            <w:r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Pr="008418C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7"/>
                <w:szCs w:val="27"/>
              </w:rPr>
              <w:t>90天</w:t>
            </w:r>
          </w:p>
        </w:tc>
      </w:tr>
      <w:tr w:rsidR="00761BD3" w:rsidTr="00C70BE1">
        <w:tc>
          <w:tcPr>
            <w:tcW w:w="10213" w:type="dxa"/>
            <w:gridSpan w:val="10"/>
          </w:tcPr>
          <w:p w:rsidR="00761BD3" w:rsidRPr="008418C0" w:rsidRDefault="006775CE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公開銷售：  年  月  日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F52390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 w:cs="Arial"/>
                <w:b/>
                <w:color w:val="FF0000"/>
                <w:sz w:val="27"/>
                <w:szCs w:val="27"/>
              </w:rPr>
              <w:t>*</w:t>
            </w:r>
            <w:proofErr w:type="gramStart"/>
            <w:r w:rsidR="006775CE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格待定</w:t>
            </w:r>
            <w:proofErr w:type="gramEnd"/>
            <w:r w:rsidR="006775CE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：</w:t>
            </w:r>
            <w:r w:rsidR="006775CE"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="006775CE" w:rsidRPr="008418C0">
              <w:rPr>
                <w:rFonts w:asciiTheme="minorEastAsia" w:eastAsiaTheme="minorEastAsia" w:hAnsiTheme="minorEastAsia" w:cs="細明體" w:hint="eastAsia"/>
                <w:color w:val="000000"/>
                <w:kern w:val="0"/>
                <w:sz w:val="27"/>
                <w:szCs w:val="27"/>
              </w:rPr>
              <w:t xml:space="preserve">是  </w:t>
            </w:r>
            <w:r w:rsidR="006775CE" w:rsidRPr="008418C0">
              <w:rPr>
                <w:rFonts w:ascii="MS Gothic" w:eastAsia="MS Gothic" w:hAnsi="MS Gothic" w:cs="MS Gothic" w:hint="eastAsia"/>
                <w:color w:val="000000"/>
                <w:kern w:val="0"/>
                <w:sz w:val="27"/>
                <w:szCs w:val="27"/>
              </w:rPr>
              <w:t>☐</w:t>
            </w:r>
            <w:r w:rsidR="006775CE" w:rsidRPr="008418C0">
              <w:rPr>
                <w:rFonts w:asciiTheme="minorEastAsia" w:eastAsiaTheme="minorEastAsia" w:hAnsiTheme="minorEastAsia" w:cs="細明體" w:hint="eastAsia"/>
                <w:color w:val="000000"/>
                <w:kern w:val="0"/>
                <w:sz w:val="27"/>
                <w:szCs w:val="27"/>
              </w:rPr>
              <w:t>否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6775CE" w:rsidP="00F52390">
            <w:pPr>
              <w:widowControl/>
              <w:jc w:val="both"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單 價：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</w:t>
            </w: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/萬/坪</w:t>
            </w:r>
            <w:r w:rsidR="00B47B53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</w:t>
            </w:r>
            <w:r w:rsidR="00B47B53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</w:t>
            </w:r>
            <w:r w:rsidR="00B47B53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             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   低價~高價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6775CE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總價：</w:t>
            </w:r>
            <w:r w:rsidR="00B47B53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默認單位為萬                            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  低價~高價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B47B53" w:rsidP="00F5239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車位價格：         默認單位為萬                       </w:t>
            </w:r>
            <w:r w:rsidR="00F5239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           低價~高價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B47B5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預期完工日：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B47B5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交屋</w:t>
            </w: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屋況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：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B47B5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企劃銷售：</w:t>
            </w:r>
          </w:p>
        </w:tc>
      </w:tr>
      <w:tr w:rsidR="006775CE" w:rsidTr="00C70BE1">
        <w:tc>
          <w:tcPr>
            <w:tcW w:w="10213" w:type="dxa"/>
            <w:gridSpan w:val="10"/>
          </w:tcPr>
          <w:p w:rsidR="006775CE" w:rsidRPr="008418C0" w:rsidRDefault="00B47B5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接待會館(地址)：</w:t>
            </w:r>
          </w:p>
        </w:tc>
      </w:tr>
      <w:tr w:rsidR="00B47B53" w:rsidTr="00C70BE1">
        <w:tc>
          <w:tcPr>
            <w:tcW w:w="4222" w:type="dxa"/>
            <w:gridSpan w:val="4"/>
          </w:tcPr>
          <w:p w:rsidR="00B47B53" w:rsidRPr="008418C0" w:rsidRDefault="00B47B5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自備款：   %</w:t>
            </w:r>
          </w:p>
        </w:tc>
        <w:tc>
          <w:tcPr>
            <w:tcW w:w="5991" w:type="dxa"/>
            <w:gridSpan w:val="6"/>
          </w:tcPr>
          <w:p w:rsidR="00B47B53" w:rsidRPr="008418C0" w:rsidRDefault="00B47B53" w:rsidP="00B47B5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銀行貸款：  %</w:t>
            </w:r>
          </w:p>
        </w:tc>
      </w:tr>
      <w:tr w:rsidR="00B47B53" w:rsidTr="00C70BE1">
        <w:tc>
          <w:tcPr>
            <w:tcW w:w="10213" w:type="dxa"/>
            <w:gridSpan w:val="10"/>
          </w:tcPr>
          <w:p w:rsidR="00B47B53" w:rsidRPr="008418C0" w:rsidRDefault="00F52390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F52390">
              <w:rPr>
                <w:rFonts w:asciiTheme="minorEastAsia" w:eastAsiaTheme="minorEastAsia" w:hAnsiTheme="minorEastAsia" w:cs="Arial"/>
                <w:color w:val="FF0000"/>
                <w:sz w:val="27"/>
                <w:szCs w:val="27"/>
              </w:rPr>
              <w:t>*</w:t>
            </w:r>
            <w:r w:rsidR="00B47B53"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待中心服務時間：</w:t>
            </w:r>
          </w:p>
        </w:tc>
      </w:tr>
      <w:tr w:rsidR="00D44633" w:rsidTr="008418C0">
        <w:tc>
          <w:tcPr>
            <w:tcW w:w="1560" w:type="dxa"/>
          </w:tcPr>
          <w:p w:rsidR="00D44633" w:rsidRPr="008418C0" w:rsidRDefault="00D44633" w:rsidP="00D44633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公設比：</w:t>
            </w:r>
          </w:p>
        </w:tc>
        <w:tc>
          <w:tcPr>
            <w:tcW w:w="1701" w:type="dxa"/>
            <w:gridSpan w:val="2"/>
          </w:tcPr>
          <w:p w:rsidR="00D44633" w:rsidRPr="008418C0" w:rsidRDefault="00D44633" w:rsidP="00D44633">
            <w:pPr>
              <w:ind w:left="107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proofErr w:type="gramStart"/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棟戶規劃</w:t>
            </w:r>
            <w:proofErr w:type="gramEnd"/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：</w:t>
            </w:r>
          </w:p>
        </w:tc>
        <w:tc>
          <w:tcPr>
            <w:tcW w:w="1559" w:type="dxa"/>
            <w:gridSpan w:val="2"/>
          </w:tcPr>
          <w:p w:rsidR="00D44633" w:rsidRPr="008418C0" w:rsidRDefault="00D44633" w:rsidP="00D44633">
            <w:pPr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proofErr w:type="gramStart"/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建坪率</w:t>
            </w:r>
            <w:proofErr w:type="gramEnd"/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：</w:t>
            </w:r>
          </w:p>
        </w:tc>
        <w:tc>
          <w:tcPr>
            <w:tcW w:w="1558" w:type="dxa"/>
            <w:gridSpan w:val="2"/>
          </w:tcPr>
          <w:p w:rsidR="00D44633" w:rsidRPr="008418C0" w:rsidRDefault="00D44633" w:rsidP="00D44633">
            <w:pPr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樓層規劃：</w:t>
            </w:r>
          </w:p>
        </w:tc>
        <w:tc>
          <w:tcPr>
            <w:tcW w:w="1710" w:type="dxa"/>
            <w:gridSpan w:val="2"/>
          </w:tcPr>
          <w:p w:rsidR="00D44633" w:rsidRPr="008418C0" w:rsidRDefault="00D44633" w:rsidP="00D44633">
            <w:pPr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車位規劃：</w:t>
            </w:r>
          </w:p>
        </w:tc>
        <w:tc>
          <w:tcPr>
            <w:tcW w:w="2125" w:type="dxa"/>
          </w:tcPr>
          <w:p w:rsidR="00D44633" w:rsidRPr="008418C0" w:rsidRDefault="00D44633" w:rsidP="00D44633">
            <w:pPr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  <w:t>管理費：</w:t>
            </w:r>
          </w:p>
        </w:tc>
      </w:tr>
      <w:tr w:rsidR="00D44633" w:rsidTr="008418C0">
        <w:tc>
          <w:tcPr>
            <w:tcW w:w="1560" w:type="dxa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gridSpan w:val="2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558" w:type="dxa"/>
            <w:gridSpan w:val="2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710" w:type="dxa"/>
            <w:gridSpan w:val="2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2125" w:type="dxa"/>
          </w:tcPr>
          <w:p w:rsidR="00D44633" w:rsidRPr="008418C0" w:rsidRDefault="00D44633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8418C0">
        <w:tc>
          <w:tcPr>
            <w:tcW w:w="1560" w:type="dxa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lastRenderedPageBreak/>
              <w:t>車位配比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1701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結構工程：</w:t>
            </w:r>
          </w:p>
        </w:tc>
        <w:tc>
          <w:tcPr>
            <w:tcW w:w="1559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基地面積：</w:t>
            </w:r>
          </w:p>
        </w:tc>
        <w:tc>
          <w:tcPr>
            <w:tcW w:w="1558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土地區分：</w:t>
            </w:r>
          </w:p>
        </w:tc>
        <w:tc>
          <w:tcPr>
            <w:tcW w:w="1710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座向規劃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125" w:type="dxa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8418C0">
        <w:tc>
          <w:tcPr>
            <w:tcW w:w="1560" w:type="dxa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558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1710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2125" w:type="dxa"/>
            <w:tcBorders>
              <w:tr2bl w:val="single" w:sz="4" w:space="0" w:color="auto"/>
            </w:tcBorders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C70BE1">
        <w:tc>
          <w:tcPr>
            <w:tcW w:w="10213" w:type="dxa"/>
            <w:gridSpan w:val="10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建材說明：</w:t>
            </w: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C70BE1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 xml:space="preserve">投資建設：　</w:t>
            </w:r>
          </w:p>
        </w:tc>
        <w:tc>
          <w:tcPr>
            <w:tcW w:w="3315" w:type="dxa"/>
            <w:gridSpan w:val="6"/>
          </w:tcPr>
          <w:p w:rsidR="00C70BE1" w:rsidRPr="008418C0" w:rsidRDefault="00C70BE1" w:rsidP="00C70BE1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營造公司：</w:t>
            </w:r>
          </w:p>
        </w:tc>
        <w:tc>
          <w:tcPr>
            <w:tcW w:w="3763" w:type="dxa"/>
            <w:gridSpan w:val="2"/>
          </w:tcPr>
          <w:p w:rsidR="00C70BE1" w:rsidRPr="008418C0" w:rsidRDefault="00C70BE1" w:rsidP="00C70BE1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建造執照：</w:t>
            </w: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建築設計：</w:t>
            </w: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使用執照：</w:t>
            </w: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企劃銷售：</w:t>
            </w: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用途規劃：</w:t>
            </w: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物業公司：</w:t>
            </w: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景觀設計：</w:t>
            </w: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燈光設計：</w:t>
            </w: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公設設計：</w:t>
            </w: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C70BE1" w:rsidTr="00C70BE1">
        <w:tc>
          <w:tcPr>
            <w:tcW w:w="3135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315" w:type="dxa"/>
            <w:gridSpan w:val="6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  <w:tc>
          <w:tcPr>
            <w:tcW w:w="3763" w:type="dxa"/>
            <w:gridSpan w:val="2"/>
          </w:tcPr>
          <w:p w:rsidR="00C70BE1" w:rsidRPr="008418C0" w:rsidRDefault="00C70BE1" w:rsidP="00761BD3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  <w:tr w:rsidR="008418C0" w:rsidTr="008418C0">
        <w:tc>
          <w:tcPr>
            <w:tcW w:w="10213" w:type="dxa"/>
            <w:gridSpan w:val="10"/>
          </w:tcPr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 w:hint="eastAsia"/>
                <w:color w:val="000000"/>
                <w:sz w:val="27"/>
                <w:szCs w:val="27"/>
              </w:rPr>
              <w:t>*</w:t>
            </w: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所屬地區：      縣市        區</w:t>
            </w:r>
          </w:p>
        </w:tc>
      </w:tr>
      <w:tr w:rsidR="008418C0" w:rsidTr="008418C0">
        <w:tc>
          <w:tcPr>
            <w:tcW w:w="10213" w:type="dxa"/>
            <w:gridSpan w:val="10"/>
          </w:tcPr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全景看房連結網址：</w:t>
            </w:r>
          </w:p>
        </w:tc>
      </w:tr>
      <w:tr w:rsidR="008418C0" w:rsidTr="008418C0">
        <w:tc>
          <w:tcPr>
            <w:tcW w:w="10213" w:type="dxa"/>
            <w:gridSpan w:val="10"/>
          </w:tcPr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推薦評語：</w:t>
            </w:r>
          </w:p>
        </w:tc>
      </w:tr>
      <w:tr w:rsidR="008418C0" w:rsidTr="008418C0">
        <w:tc>
          <w:tcPr>
            <w:tcW w:w="10213" w:type="dxa"/>
            <w:gridSpan w:val="10"/>
          </w:tcPr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屋</w:t>
            </w: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況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介紹：(特色說明、交通、</w:t>
            </w:r>
            <w:proofErr w:type="gramStart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週</w:t>
            </w:r>
            <w:proofErr w:type="gramEnd"/>
            <w:r w:rsidRPr="008418C0"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  <w:t>邊 .. )</w:t>
            </w: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  <w:p w:rsidR="008418C0" w:rsidRPr="008418C0" w:rsidRDefault="008418C0" w:rsidP="008418C0">
            <w:pPr>
              <w:widowControl/>
              <w:rPr>
                <w:rFonts w:asciiTheme="minorEastAsia" w:eastAsiaTheme="minorEastAsia" w:hAnsiTheme="minorEastAsia" w:cs="Arial"/>
                <w:color w:val="000000"/>
                <w:sz w:val="27"/>
                <w:szCs w:val="27"/>
              </w:rPr>
            </w:pPr>
          </w:p>
        </w:tc>
      </w:tr>
    </w:tbl>
    <w:p w:rsidR="002B7CDF" w:rsidRDefault="00F52390" w:rsidP="002B7CDF">
      <w:pPr>
        <w:ind w:leftChars="-354" w:left="-2" w:hangingChars="303" w:hanging="848"/>
        <w:rPr>
          <w:rFonts w:ascii="微軟正黑體" w:eastAsia="微軟正黑體" w:hAnsi="微軟正黑體"/>
          <w:noProof/>
          <w:sz w:val="28"/>
          <w:szCs w:val="28"/>
        </w:rPr>
      </w:pPr>
      <w:r w:rsidRPr="00F52390">
        <w:rPr>
          <w:rFonts w:ascii="微軟正黑體" w:eastAsia="微軟正黑體" w:hAnsi="微軟正黑體"/>
          <w:sz w:val="28"/>
          <w:szCs w:val="28"/>
        </w:rPr>
        <w:t>案場照片傳送位子請加入官方</w:t>
      </w:r>
      <w:r w:rsidRPr="00F52390">
        <w:rPr>
          <w:rFonts w:ascii="微軟正黑體" w:eastAsia="微軟正黑體" w:hAnsi="微軟正黑體" w:hint="eastAsia"/>
          <w:sz w:val="28"/>
          <w:szCs w:val="28"/>
        </w:rPr>
        <w:t>LINE@ ID</w:t>
      </w:r>
      <w:r w:rsidRPr="00F52390">
        <w:rPr>
          <w:rFonts w:ascii="微軟正黑體" w:eastAsia="微軟正黑體" w:hAnsi="微軟正黑體" w:cstheme="minorHAnsi"/>
          <w:b/>
          <w:color w:val="000000" w:themeColor="text1"/>
          <w:sz w:val="28"/>
          <w:szCs w:val="28"/>
        </w:rPr>
        <w:t xml:space="preserve"> ：@287epcqb  </w:t>
      </w:r>
      <w:r w:rsidR="002B7CDF">
        <w:rPr>
          <w:rFonts w:ascii="微軟正黑體" w:eastAsia="微軟正黑體" w:hAnsi="微軟正黑體"/>
          <w:noProof/>
          <w:sz w:val="28"/>
          <w:szCs w:val="28"/>
        </w:rPr>
        <w:t>【大腳印房地網 】</w:t>
      </w:r>
    </w:p>
    <w:p w:rsidR="00F52390" w:rsidRPr="00F52390" w:rsidRDefault="00F52390" w:rsidP="002B7CDF">
      <w:pPr>
        <w:ind w:leftChars="-354" w:left="-2" w:hangingChars="303" w:hanging="848"/>
        <w:rPr>
          <w:rFonts w:ascii="微軟正黑體" w:eastAsia="微軟正黑體" w:hAnsi="微軟正黑體"/>
          <w:noProof/>
          <w:sz w:val="28"/>
          <w:szCs w:val="28"/>
        </w:rPr>
      </w:pPr>
      <w:r w:rsidRPr="00F52390">
        <w:rPr>
          <w:rFonts w:ascii="微軟正黑體" w:eastAsia="微軟正黑體" w:hAnsi="微軟正黑體" w:hint="eastAsia"/>
          <w:sz w:val="28"/>
          <w:szCs w:val="28"/>
        </w:rPr>
        <w:t>若欲了解各區大腳印房地網廣告刊登內容或</w:t>
      </w:r>
      <w:r w:rsidR="004804E3">
        <w:rPr>
          <w:rFonts w:ascii="微軟正黑體" w:eastAsia="微軟正黑體" w:hAnsi="微軟正黑體" w:hint="eastAsia"/>
          <w:sz w:val="28"/>
          <w:szCs w:val="28"/>
        </w:rPr>
        <w:t>其相關問題</w:t>
      </w:r>
      <w:r w:rsidRPr="00F52390">
        <w:rPr>
          <w:rFonts w:ascii="微軟正黑體" w:eastAsia="微軟正黑體" w:hAnsi="微軟正黑體" w:hint="eastAsia"/>
          <w:sz w:val="28"/>
          <w:szCs w:val="28"/>
        </w:rPr>
        <w:t>至請來電洽詢：</w:t>
      </w:r>
    </w:p>
    <w:p w:rsidR="00F52390" w:rsidRDefault="00CB0C91" w:rsidP="00CB0C91">
      <w:pPr>
        <w:ind w:leftChars="-354" w:left="-2" w:hangingChars="303" w:hanging="848"/>
        <w:rPr>
          <w:rFonts w:ascii="微軟正黑體" w:eastAsia="微軟正黑體" w:hAnsi="微軟正黑體"/>
          <w:sz w:val="28"/>
          <w:szCs w:val="28"/>
        </w:rPr>
      </w:pPr>
      <w:r w:rsidRPr="00CB0C91">
        <w:rPr>
          <w:rFonts w:ascii="微軟正黑體" w:eastAsia="微軟正黑體" w:hAnsi="微軟正黑體"/>
          <w:sz w:val="28"/>
          <w:szCs w:val="28"/>
        </w:rPr>
        <w:t>0988-109-035</w:t>
      </w:r>
      <w:r w:rsidR="002B7CD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B7CDF">
        <w:rPr>
          <w:rFonts w:ascii="微軟正黑體" w:eastAsia="微軟正黑體" w:hAnsi="微軟正黑體" w:hint="eastAsia"/>
          <w:sz w:val="28"/>
          <w:szCs w:val="28"/>
        </w:rPr>
        <w:sym w:font="Wingdings 2" w:char="F027"/>
      </w:r>
    </w:p>
    <w:p w:rsidR="002B03EB" w:rsidRPr="00F52390" w:rsidRDefault="002B03EB" w:rsidP="002B7CDF">
      <w:pPr>
        <w:ind w:leftChars="-354" w:left="-2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>
            <wp:extent cx="1419225" cy="137344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4713088223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7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3EB" w:rsidRPr="00F52390" w:rsidSect="00F52390">
      <w:pgSz w:w="11906" w:h="16838"/>
      <w:pgMar w:top="709" w:right="707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3"/>
    <w:rsid w:val="002B03EB"/>
    <w:rsid w:val="002B7CDF"/>
    <w:rsid w:val="004804E3"/>
    <w:rsid w:val="006775CE"/>
    <w:rsid w:val="00761BD3"/>
    <w:rsid w:val="008408F2"/>
    <w:rsid w:val="008418C0"/>
    <w:rsid w:val="00B47B53"/>
    <w:rsid w:val="00C70BE1"/>
    <w:rsid w:val="00CB0C91"/>
    <w:rsid w:val="00D44633"/>
    <w:rsid w:val="00EC06AF"/>
    <w:rsid w:val="00F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6775C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標題 5 字元"/>
    <w:basedOn w:val="a0"/>
    <w:link w:val="5"/>
    <w:uiPriority w:val="9"/>
    <w:rsid w:val="006775C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B47B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47B53"/>
    <w:rPr>
      <w:rFonts w:asciiTheme="minorHAnsi" w:eastAsiaTheme="minorEastAsia" w:hAnsiTheme="minorHAnsi" w:cstheme="minorBidi"/>
      <w:szCs w:val="22"/>
    </w:rPr>
  </w:style>
  <w:style w:type="character" w:customStyle="1" w:styleId="a6">
    <w:name w:val="註解文字 字元"/>
    <w:basedOn w:val="a0"/>
    <w:link w:val="a5"/>
    <w:uiPriority w:val="99"/>
    <w:semiHidden/>
    <w:rsid w:val="00B47B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B47B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47B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B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841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6775C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標題 5 字元"/>
    <w:basedOn w:val="a0"/>
    <w:link w:val="5"/>
    <w:uiPriority w:val="9"/>
    <w:rsid w:val="006775C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B47B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47B53"/>
    <w:rPr>
      <w:rFonts w:asciiTheme="minorHAnsi" w:eastAsiaTheme="minorEastAsia" w:hAnsiTheme="minorHAnsi" w:cstheme="minorBidi"/>
      <w:szCs w:val="22"/>
    </w:rPr>
  </w:style>
  <w:style w:type="character" w:customStyle="1" w:styleId="a6">
    <w:name w:val="註解文字 字元"/>
    <w:basedOn w:val="a0"/>
    <w:link w:val="a5"/>
    <w:uiPriority w:val="99"/>
    <w:semiHidden/>
    <w:rsid w:val="00B47B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B47B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47B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B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841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42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5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6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2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503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633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1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0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88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4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2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8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49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65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7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33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4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7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7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4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89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004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36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1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821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0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11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807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6185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1455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217017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109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2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11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93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1169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18180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7625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03568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972378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38472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9267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23412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5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49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848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3251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11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55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95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19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7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2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00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58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43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0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2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7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15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50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22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103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8415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4303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770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43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02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91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28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1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2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2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3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540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9369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659850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842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pc042</dc:creator>
  <cp:lastModifiedBy>pc042</cp:lastModifiedBy>
  <cp:revision>7</cp:revision>
  <dcterms:created xsi:type="dcterms:W3CDTF">2022-07-28T05:57:00Z</dcterms:created>
  <dcterms:modified xsi:type="dcterms:W3CDTF">2022-09-02T06:00:00Z</dcterms:modified>
</cp:coreProperties>
</file>